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5AC3A" w14:textId="77777777" w:rsidR="00B8523A" w:rsidRDefault="00B8523A">
      <w:pPr>
        <w:spacing w:line="360" w:lineRule="auto"/>
        <w:rPr>
          <w:rFonts w:ascii="Verdana" w:eastAsiaTheme="minorHAnsi" w:hAnsi="Verdana" w:cs="Verdana"/>
          <w:color w:val="000000"/>
          <w:lang w:eastAsia="en-US"/>
        </w:rPr>
      </w:pPr>
    </w:p>
    <w:p w14:paraId="398CF78D" w14:textId="527F3E3D" w:rsidR="00B8523A" w:rsidRDefault="00000000">
      <w:pPr>
        <w:spacing w:line="360" w:lineRule="auto"/>
        <w:jc w:val="right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lang w:eastAsia="en-US"/>
        </w:rPr>
        <w:t xml:space="preserve"> </w:t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color w:val="000000"/>
          <w:lang w:eastAsia="en-US"/>
        </w:rPr>
        <w:tab/>
      </w: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Załącznik nr </w:t>
      </w:r>
      <w:r w:rsidR="006C17B2"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5</w:t>
      </w: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 </w:t>
      </w:r>
    </w:p>
    <w:p w14:paraId="7001A4D3" w14:textId="77777777" w:rsidR="00B8523A" w:rsidRDefault="00B8523A">
      <w:pPr>
        <w:spacing w:line="360" w:lineRule="auto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0A1D333C" w14:textId="77777777" w:rsidR="00B8523A" w:rsidRDefault="00000000">
      <w:pPr>
        <w:spacing w:line="360" w:lineRule="auto"/>
        <w:jc w:val="center"/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>WARUNKI ZAMÓWIENIA</w:t>
      </w:r>
    </w:p>
    <w:p w14:paraId="1D432C96" w14:textId="77777777" w:rsidR="00B8523A" w:rsidRDefault="00B8523A">
      <w:pPr>
        <w:spacing w:line="360" w:lineRule="auto"/>
        <w:jc w:val="center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5123B47" w14:textId="77777777" w:rsidR="00B8523A" w:rsidRDefault="00000000">
      <w:pPr>
        <w:spacing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bCs/>
          <w:color w:val="000000"/>
          <w:sz w:val="20"/>
          <w:szCs w:val="20"/>
          <w:lang w:eastAsia="en-US"/>
        </w:rPr>
        <w:t xml:space="preserve">I. Opis sposobu obliczenia ceny: </w:t>
      </w:r>
    </w:p>
    <w:p w14:paraId="1778E2E5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Cena oferty zostanie wyliczona przez Wykonawcę w oparciu o Formularz Cenowy. Wykonawca powinien określić ceny jednostkowe netto, wartość netto, wartość VAT, wartość brutto zgodnie ze wskazanym w Formularzu Cenowym (załącznik nr 3) sposobem obliczenia oferty. </w:t>
      </w:r>
    </w:p>
    <w:p w14:paraId="13A52557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Wszystkie skalkulowane koszty Wykonawca zsumuje i przeniesie do Formularza Ofertowego (Załącznik nr 2).</w:t>
      </w:r>
    </w:p>
    <w:p w14:paraId="41962C48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Wartości w poszczególnych pozycjach Formularza Cenowego oraz cena Oferty powinna być wyrażona w złotych polskich (PLN) z dokładnością do dwóch miejsc po przecinku. </w:t>
      </w:r>
    </w:p>
    <w:p w14:paraId="392DB068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Cena za realizację zamówienia musi zawierać wszystkie elementy kosztów wykonania przedmiotu zamówienia.</w:t>
      </w:r>
    </w:p>
    <w:p w14:paraId="28D54EFD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1A440526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wątpliwość,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czy Wykonawca ujął w oferowanej cenie wszystkie wymagane przez Zamawiającego elementy przedmiotu zamówienia).</w:t>
      </w:r>
    </w:p>
    <w:p w14:paraId="3E862FFD" w14:textId="77777777" w:rsidR="00B8523A" w:rsidRDefault="00000000">
      <w:pPr>
        <w:numPr>
          <w:ilvl w:val="0"/>
          <w:numId w:val="2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zastrzega sobie prawo dalszego nierozpatrywania oferty w szczególności 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  <w:t xml:space="preserve">w przypadku, gdy Wykonawca nie odpowie na wezwanie Zamawiającego lub nie przedstawi wyjaśnień pozwalających uznać zaproponowaną cenę za rzetelną, za którą Wykonawca będzie w stanie zrealizować zamówienie. </w:t>
      </w:r>
    </w:p>
    <w:p w14:paraId="3CEBC4B1" w14:textId="77777777" w:rsidR="00B8523A" w:rsidRDefault="00B8523A">
      <w:pPr>
        <w:spacing w:line="360" w:lineRule="auto"/>
        <w:ind w:left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3BE59497" w14:textId="77777777" w:rsidR="00B8523A" w:rsidRDefault="00000000">
      <w:pPr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II.</w:t>
      </w: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Wyjaśnienia treści ogłoszenia:</w:t>
      </w:r>
    </w:p>
    <w:p w14:paraId="718239F9" w14:textId="77777777" w:rsidR="00B8523A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może zwrócić się do Zamawiającego o wyjaśnienie treści </w:t>
      </w:r>
      <w:proofErr w:type="gramStart"/>
      <w:r>
        <w:rPr>
          <w:rFonts w:ascii="Verdana" w:eastAsiaTheme="minorHAnsi" w:hAnsi="Verdana" w:cstheme="minorBidi"/>
          <w:sz w:val="20"/>
          <w:szCs w:val="20"/>
          <w:lang w:eastAsia="en-US"/>
        </w:rPr>
        <w:t>ogłoszenia,  kierując</w:t>
      </w:r>
      <w:proofErr w:type="gramEnd"/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 wniosek na adres e-mail: </w:t>
      </w:r>
      <w:hyperlink r:id="rId5">
        <w:r w:rsidR="00B8523A">
          <w:rPr>
            <w:rFonts w:ascii="Verdana" w:eastAsiaTheme="minorHAnsi" w:hAnsi="Verdana" w:cstheme="minorBidi"/>
            <w:color w:val="0563C1" w:themeColor="hyperlink"/>
            <w:sz w:val="20"/>
            <w:szCs w:val="20"/>
            <w:u w:val="single"/>
            <w:lang w:eastAsia="en-US"/>
          </w:rPr>
          <w:t>sekretariatkatowice@gddkia.gov.pl</w:t>
        </w:r>
      </w:hyperlink>
    </w:p>
    <w:p w14:paraId="2BF6EC7C" w14:textId="77777777" w:rsidR="00B8523A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Zamawiający udzieli wyjaśnień niezwłocznie pod warunkiem, że wniosek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  <w:t>o wyjaśnienie treści ogłoszenia wpłynął do Zamawiającego nie później niż na 3 dni przed upływem terminu składania ofert.</w:t>
      </w:r>
    </w:p>
    <w:p w14:paraId="3ADB2198" w14:textId="77777777" w:rsidR="00B8523A" w:rsidRDefault="00000000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lastRenderedPageBreak/>
        <w:t xml:space="preserve">Jeżeli wniosek zawierający zapytania do treści Ogłoszenia wpłynął po upływie terminu,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br/>
        <w:t>o którym mowa w pkt II.2 Ogłoszenia lub dotyczy już udzielonych wyjaśnień, Zamawiający może pozostawić wniosek bez rozpoznania.</w:t>
      </w:r>
    </w:p>
    <w:p w14:paraId="03A4A82D" w14:textId="77777777" w:rsidR="00B8523A" w:rsidRDefault="00B8523A">
      <w:pPr>
        <w:spacing w:before="120" w:after="160" w:line="360" w:lineRule="auto"/>
        <w:ind w:left="720"/>
        <w:contextualSpacing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ED485A9" w14:textId="77777777" w:rsidR="00B8523A" w:rsidRDefault="00000000">
      <w:pPr>
        <w:spacing w:line="360" w:lineRule="auto"/>
        <w:jc w:val="both"/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>III.</w:t>
      </w:r>
      <w:r>
        <w:rPr>
          <w:rFonts w:ascii="Verdana" w:eastAsiaTheme="minorHAnsi" w:hAnsi="Verdana" w:cs="Verdana"/>
          <w:b/>
          <w:color w:val="000000"/>
          <w:sz w:val="20"/>
          <w:szCs w:val="20"/>
          <w:lang w:eastAsia="en-US"/>
        </w:rPr>
        <w:tab/>
        <w:t>Pozostałe zasady postępowania:</w:t>
      </w:r>
    </w:p>
    <w:p w14:paraId="1A1890E5" w14:textId="77777777" w:rsidR="00B8523A" w:rsidRDefault="00000000">
      <w:pPr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Zamawiający nie dopuszcza składania ofert częściowych.</w:t>
      </w:r>
    </w:p>
    <w:p w14:paraId="3B7B5544" w14:textId="77777777" w:rsidR="00B8523A" w:rsidRDefault="00000000">
      <w:pPr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Zamawiający odrzuci ofertę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Wykonawcy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jeżeli:</w:t>
      </w:r>
    </w:p>
    <w:p w14:paraId="0582F4C3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złożył więcej niż jedną ofertę,</w:t>
      </w:r>
    </w:p>
    <w:p w14:paraId="0BF49544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złożył Formularza ofertowego i/lub Formularza asortymentowo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cenowego  i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/lub nie uzupełnił dokumentów i/lub nie złożył wyjaśnień,</w:t>
      </w:r>
    </w:p>
    <w:p w14:paraId="410EFC90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Oferta została złożona po terminie składania ofert,</w:t>
      </w:r>
    </w:p>
    <w:p w14:paraId="76FBF641" w14:textId="063B4E64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Treść oferty jest niezgodna z warunkami zamówienia określonymi</w:t>
      </w:r>
      <w:r w:rsidR="005A01C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br/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 szczególności w ogłoszeniu lub w opisie przedmiotu zamówienia,</w:t>
      </w:r>
    </w:p>
    <w:p w14:paraId="3B230291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Zawiera błędy w obliczeniu ceny lub jeśli Wykonawca nie odpowie na wezwanie Zamawiającego, o którym mowa powyżej w pkt I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ppkt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 7 lub nie przedstawi wyjaśnień pozwalających uznać zaproponowaną cenę za rzetelną, za którą Wykonawca będzie w stanie zrealizować zamówienie,</w:t>
      </w:r>
    </w:p>
    <w:p w14:paraId="49263E54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Jeżeli złożone wyjaśnienia nie uzasadniają podanej w ofercie ceny,</w:t>
      </w:r>
    </w:p>
    <w:p w14:paraId="5B320B8F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29F24E22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Wykonawca złożył niepodpisaną ofertę. </w:t>
      </w:r>
    </w:p>
    <w:p w14:paraId="4FAC3861" w14:textId="77777777" w:rsidR="00B8523A" w:rsidRDefault="00000000">
      <w:pPr>
        <w:numPr>
          <w:ilvl w:val="0"/>
          <w:numId w:val="3"/>
        </w:numPr>
        <w:spacing w:after="160" w:line="360" w:lineRule="auto"/>
        <w:ind w:left="567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Ponadto Zamawiający zastrzega sobie prawo:</w:t>
      </w:r>
    </w:p>
    <w:p w14:paraId="1CFBCCC3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Wezwania do uzupełnienia dokumentów i/lub wyjaśnień treści złożonej oferty.</w:t>
      </w:r>
    </w:p>
    <w:p w14:paraId="02EB216C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Jeżeli nie można wybrać najkorzystniejszej oferty z uwagi na to, że dwie lub więcej ofert przedstawia taki sam bilans ceny (i innych kryteriów oceny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ofert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16DD1C7" w14:textId="77777777" w:rsidR="00B8523A" w:rsidRDefault="00000000">
      <w:pPr>
        <w:numPr>
          <w:ilvl w:val="1"/>
          <w:numId w:val="3"/>
        </w:numPr>
        <w:tabs>
          <w:tab w:val="left" w:pos="567"/>
        </w:tabs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Poprawienia oczywistych omyłek pisarskich.</w:t>
      </w:r>
    </w:p>
    <w:p w14:paraId="3D1572D9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lastRenderedPageBreak/>
        <w:t>Poprawienia oczywistych omyłek rachunkowych, z uwzględnieniem konsekwencji rachunkowych dokonanych poprawek.</w:t>
      </w:r>
    </w:p>
    <w:p w14:paraId="7AE3B81C" w14:textId="77777777" w:rsidR="00B8523A" w:rsidRDefault="00000000">
      <w:pPr>
        <w:numPr>
          <w:ilvl w:val="1"/>
          <w:numId w:val="3"/>
        </w:numPr>
        <w:spacing w:after="160" w:line="360" w:lineRule="auto"/>
        <w:ind w:left="1418" w:hanging="709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unieważnienia postępowania, w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szczególności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gdy:</w:t>
      </w:r>
    </w:p>
    <w:p w14:paraId="0D1AFCBE" w14:textId="77777777" w:rsidR="00B8523A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nie złożono żadnej oferty;</w:t>
      </w:r>
    </w:p>
    <w:p w14:paraId="5F5EAE28" w14:textId="77777777" w:rsidR="00B8523A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wystąpiła istotna zmiana okoliczności powodująca, że prowadzenie postępowania lub wykonanie zamówienia nie leży w interesie publicznym;</w:t>
      </w:r>
    </w:p>
    <w:p w14:paraId="4E4C2A05" w14:textId="77777777" w:rsidR="00B8523A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5AF4D476" w14:textId="77777777" w:rsidR="00B8523A" w:rsidRDefault="00000000">
      <w:pPr>
        <w:numPr>
          <w:ilvl w:val="1"/>
          <w:numId w:val="4"/>
        </w:numPr>
        <w:spacing w:after="160" w:line="360" w:lineRule="auto"/>
        <w:ind w:left="1843" w:hanging="425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gdy zostały złożone oferty dodatkowe o takiej samej cenie.</w:t>
      </w:r>
    </w:p>
    <w:p w14:paraId="7D879A1D" w14:textId="77777777" w:rsidR="00B8523A" w:rsidRDefault="00000000">
      <w:pPr>
        <w:numPr>
          <w:ilvl w:val="0"/>
          <w:numId w:val="3"/>
        </w:numPr>
        <w:spacing w:after="160" w:line="360" w:lineRule="auto"/>
        <w:ind w:left="567" w:hanging="357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Z postępowania o udzielenie zamówienia wyklucza się Wykonawcę, w </w:t>
      </w:r>
      <w:proofErr w:type="gramStart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stosunku</w:t>
      </w:r>
      <w:proofErr w:type="gramEnd"/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(DZ.U. 2025 r. poz. 514).</w:t>
      </w:r>
    </w:p>
    <w:p w14:paraId="56305647" w14:textId="33DB6449" w:rsidR="00B8523A" w:rsidRDefault="00000000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Verdana" w:hAnsi="Verdana"/>
          <w:bCs/>
          <w:iCs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Realizując obowiązek, o którym mowa w art. 24 ust. 6 ustawy z dnia 14 czerwca 2024 r. </w:t>
      </w:r>
      <w:r>
        <w:rPr>
          <w:rFonts w:ascii="Verdana" w:hAnsi="Verdana"/>
          <w:sz w:val="20"/>
          <w:szCs w:val="20"/>
        </w:rPr>
        <w:br/>
        <w:t>o ochronie sygnalistów (Dz. U. 2024 poz. 928), informujemy, że w Generalnej Dyrekcj</w:t>
      </w:r>
      <w:r w:rsidR="00202554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</w:t>
      </w:r>
      <w:proofErr w:type="gramStart"/>
      <w:r>
        <w:rPr>
          <w:rFonts w:ascii="Verdana" w:hAnsi="Verdana"/>
          <w:sz w:val="20"/>
          <w:szCs w:val="20"/>
        </w:rPr>
        <w:t>sprawę”-</w:t>
      </w:r>
      <w:proofErr w:type="gramEnd"/>
      <w:r>
        <w:rPr>
          <w:rFonts w:ascii="Verdana" w:hAnsi="Verdana"/>
          <w:sz w:val="20"/>
          <w:szCs w:val="20"/>
        </w:rPr>
        <w:t xml:space="preserve"> procedura zgłoszeń wewnętrznych.</w:t>
      </w:r>
    </w:p>
    <w:p w14:paraId="176AB27E" w14:textId="77777777" w:rsidR="00B8523A" w:rsidRDefault="00B8523A">
      <w:pPr>
        <w:spacing w:after="160"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734E574C" w14:textId="77777777" w:rsidR="00B8523A" w:rsidRDefault="00B8523A">
      <w:pPr>
        <w:spacing w:after="160" w:line="360" w:lineRule="auto"/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14:paraId="1F780269" w14:textId="77777777" w:rsidR="00B8523A" w:rsidRDefault="00B8523A">
      <w:pPr>
        <w:spacing w:line="360" w:lineRule="auto"/>
      </w:pPr>
    </w:p>
    <w:sectPr w:rsidR="00B8523A">
      <w:pgSz w:w="11906" w:h="16838"/>
      <w:pgMar w:top="1276" w:right="978" w:bottom="1417" w:left="1227" w:header="0" w:footer="0" w:gutter="0"/>
      <w:cols w:space="708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D43BD"/>
    <w:multiLevelType w:val="multilevel"/>
    <w:tmpl w:val="DDB402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3CC2A58"/>
    <w:multiLevelType w:val="multilevel"/>
    <w:tmpl w:val="380A64D8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2" w15:restartNumberingAfterBreak="0">
    <w:nsid w:val="19726782"/>
    <w:multiLevelType w:val="multilevel"/>
    <w:tmpl w:val="442E22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8203A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77F716F2"/>
    <w:multiLevelType w:val="multilevel"/>
    <w:tmpl w:val="CA6ACF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64069958">
    <w:abstractNumId w:val="4"/>
  </w:num>
  <w:num w:numId="2" w16cid:durableId="441917123">
    <w:abstractNumId w:val="1"/>
  </w:num>
  <w:num w:numId="3" w16cid:durableId="899905657">
    <w:abstractNumId w:val="3"/>
  </w:num>
  <w:num w:numId="4" w16cid:durableId="59865586">
    <w:abstractNumId w:val="0"/>
  </w:num>
  <w:num w:numId="5" w16cid:durableId="143670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3A"/>
    <w:rsid w:val="000D7E35"/>
    <w:rsid w:val="00202554"/>
    <w:rsid w:val="00295037"/>
    <w:rsid w:val="00332141"/>
    <w:rsid w:val="0041234D"/>
    <w:rsid w:val="005A01C1"/>
    <w:rsid w:val="00673C8A"/>
    <w:rsid w:val="006C17B2"/>
    <w:rsid w:val="00793D89"/>
    <w:rsid w:val="008E02AF"/>
    <w:rsid w:val="009E5B08"/>
    <w:rsid w:val="00B8523A"/>
    <w:rsid w:val="00B950F5"/>
    <w:rsid w:val="00E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294A"/>
  <w15:docId w15:val="{EBDC6A94-9CB9-4B32-881F-CD237291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1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46518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5318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46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dc:description/>
  <cp:lastModifiedBy>Szymura Natalia</cp:lastModifiedBy>
  <cp:revision>2</cp:revision>
  <cp:lastPrinted>2025-02-25T11:56:00Z</cp:lastPrinted>
  <dcterms:created xsi:type="dcterms:W3CDTF">2026-02-24T10:24:00Z</dcterms:created>
  <dcterms:modified xsi:type="dcterms:W3CDTF">2026-02-24T10:24:00Z</dcterms:modified>
  <dc:language>pl-PL</dc:language>
</cp:coreProperties>
</file>